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DB53CC2" w:rsidR="00D77F1A" w:rsidRPr="002D2775" w:rsidRDefault="00BB692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Německý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B37CBD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41722A9F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</w:t>
            </w:r>
            <w:r w:rsidR="00605424" w:rsidRPr="00605424">
              <w:rPr>
                <w:b w:val="0"/>
                <w:i w:val="0"/>
                <w:sz w:val="24"/>
                <w:szCs w:val="24"/>
              </w:rPr>
              <w:t>nákupy, obec, dopravní prostředky, zvířata, příroda, počasí, reálie zemí příslušných jazykových oblastí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6C8D0450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765A6997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42069A9D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lastRenderedPageBreak/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0A80FFEC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</w:t>
            </w:r>
            <w:r w:rsidR="00605424">
              <w:t xml:space="preserve">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3F218303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7303A243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35E3F787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605424">
              <w:t>nákupy, obec, dopravní prostředky, zvířata, příroda, počasí, reálie zemí příslušných jazykových oblastí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244D8"/>
    <w:rsid w:val="00174B7A"/>
    <w:rsid w:val="001A09BB"/>
    <w:rsid w:val="001C1F7B"/>
    <w:rsid w:val="001F2022"/>
    <w:rsid w:val="00294FA5"/>
    <w:rsid w:val="00342BC0"/>
    <w:rsid w:val="00477BB4"/>
    <w:rsid w:val="004B4677"/>
    <w:rsid w:val="00503BAA"/>
    <w:rsid w:val="00507537"/>
    <w:rsid w:val="00510778"/>
    <w:rsid w:val="00557750"/>
    <w:rsid w:val="00605424"/>
    <w:rsid w:val="00674C21"/>
    <w:rsid w:val="00756180"/>
    <w:rsid w:val="007D1601"/>
    <w:rsid w:val="009E7174"/>
    <w:rsid w:val="00A87A83"/>
    <w:rsid w:val="00AD4A61"/>
    <w:rsid w:val="00B37CBD"/>
    <w:rsid w:val="00BB692A"/>
    <w:rsid w:val="00D3366B"/>
    <w:rsid w:val="00D6605D"/>
    <w:rsid w:val="00D77F1A"/>
    <w:rsid w:val="00EB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2022-11-25T09:36:00Z</cp:lastPrinted>
  <dcterms:created xsi:type="dcterms:W3CDTF">2022-11-25T09:39:00Z</dcterms:created>
  <dcterms:modified xsi:type="dcterms:W3CDTF">2022-11-25T09:39:00Z</dcterms:modified>
</cp:coreProperties>
</file>